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5AC" w:rsidRDefault="00D125AC" w:rsidP="00D125AC">
      <w:r>
        <w:t xml:space="preserve">Nedenfor følger nogle </w:t>
      </w:r>
      <w:proofErr w:type="spellStart"/>
      <w:r>
        <w:t>retningslinier</w:t>
      </w:r>
      <w:proofErr w:type="spellEnd"/>
      <w:r>
        <w:t xml:space="preserve"> for, hvordan Sekretariatet administrerer og fortolker reglerne:</w:t>
      </w:r>
    </w:p>
    <w:p w:rsidR="00D125AC" w:rsidRDefault="00D125AC" w:rsidP="00D125AC"/>
    <w:p w:rsidR="00D125AC" w:rsidRDefault="00D125AC" w:rsidP="00D125AC">
      <w:pPr>
        <w:numPr>
          <w:ilvl w:val="0"/>
          <w:numId w:val="1"/>
        </w:numPr>
      </w:pPr>
      <w:r w:rsidRPr="00D125AC">
        <w:rPr>
          <w:b/>
        </w:rPr>
        <w:t>Internationale licenser</w:t>
      </w:r>
      <w:r>
        <w:t xml:space="preserve"> registreres af DFF hos FIE. Stævneledelsen kan finde navnene på FIE’s hjemmeside. Sekretariatet står </w:t>
      </w:r>
      <w:r w:rsidR="002717F1">
        <w:t xml:space="preserve">alene </w:t>
      </w:r>
      <w:r>
        <w:t>for bestilling</w:t>
      </w:r>
      <w:r w:rsidR="002717F1">
        <w:t xml:space="preserve"> og overførsel af betaling</w:t>
      </w:r>
      <w:r>
        <w:t xml:space="preserve"> af fægternes internationale licenser.</w:t>
      </w:r>
    </w:p>
    <w:p w:rsidR="005928D7" w:rsidRDefault="005928D7" w:rsidP="00D125AC">
      <w:pPr>
        <w:numPr>
          <w:ilvl w:val="0"/>
          <w:numId w:val="1"/>
        </w:numPr>
      </w:pPr>
      <w:r>
        <w:t>I forbindelse med DFF's bestilling af Int</w:t>
      </w:r>
      <w:r w:rsidR="00886274">
        <w:t>e</w:t>
      </w:r>
      <w:r>
        <w:t xml:space="preserve">rnational Licens (FIE) tildeler DFF fægteren et </w:t>
      </w:r>
      <w:r w:rsidRPr="005928D7">
        <w:rPr>
          <w:b/>
        </w:rPr>
        <w:t>nationalt licensnummer</w:t>
      </w:r>
      <w:r>
        <w:t>.</w:t>
      </w:r>
    </w:p>
    <w:p w:rsidR="00D125AC" w:rsidRDefault="00D125AC" w:rsidP="00D125AC">
      <w:pPr>
        <w:numPr>
          <w:ilvl w:val="0"/>
          <w:numId w:val="1"/>
        </w:numPr>
      </w:pPr>
      <w:r>
        <w:t xml:space="preserve">Principielt skal en fægter iflg. Vedtægterne § 9 være </w:t>
      </w:r>
      <w:r w:rsidRPr="00D125AC">
        <w:rPr>
          <w:b/>
        </w:rPr>
        <w:t>aktivt medlem</w:t>
      </w:r>
      <w:r>
        <w:t xml:space="preserve"> af en klub for at licens kan udstedes. Sekretariatet vil ikke bruge energi på </w:t>
      </w:r>
      <w:proofErr w:type="spellStart"/>
      <w:r>
        <w:t>dyneløfte</w:t>
      </w:r>
      <w:r w:rsidR="00886274">
        <w:t>r</w:t>
      </w:r>
      <w:r>
        <w:t>i</w:t>
      </w:r>
      <w:proofErr w:type="spellEnd"/>
      <w:r>
        <w:t xml:space="preserve"> i klubberne i den forbindelse, men vil opfordre klubberne til at påse, at betingelsen opfyldes. Der bør tages hensyn til, at tilgængeligheden og åbenheden for stævnedeltagelse giver så mange deltagere som muligt ved stævner.</w:t>
      </w:r>
    </w:p>
    <w:p w:rsidR="000A15F2" w:rsidRDefault="000A15F2" w:rsidP="000A15F2">
      <w:pPr>
        <w:ind w:left="720"/>
      </w:pPr>
    </w:p>
    <w:p w:rsidR="005928D7" w:rsidRDefault="005928D7" w:rsidP="005928D7">
      <w:pPr>
        <w:numPr>
          <w:ilvl w:val="0"/>
          <w:numId w:val="1"/>
        </w:numPr>
      </w:pPr>
      <w:r>
        <w:t xml:space="preserve">Reglerne om </w:t>
      </w:r>
      <w:r w:rsidRPr="005928D7">
        <w:rPr>
          <w:b/>
        </w:rPr>
        <w:t>licenssk</w:t>
      </w:r>
      <w:r w:rsidRPr="00D125AC">
        <w:rPr>
          <w:b/>
        </w:rPr>
        <w:t>ifte</w:t>
      </w:r>
      <w:r>
        <w:t xml:space="preserve"> i § 6 vil blive håndhævet, da der er beskyttelseshensyn overfor klubberne i forbindelse med DM – og bemærk det er kun </w:t>
      </w:r>
      <w:proofErr w:type="spellStart"/>
      <w:r>
        <w:t>DM-er</w:t>
      </w:r>
      <w:proofErr w:type="spellEnd"/>
      <w:r>
        <w:t>. I vejledningen på hjemmesiden vil det blive anført, at fægteren eller den ny klub aktivt skal orientere DFF’s Sekretariat om licensskiftet. Sekretariatet anfører ved besked fra fægter/klub dato for licensskifte udfor fægterens navn på hjemmesiden under opslaget "licensskifte - licensskifteliste". Bemærk, at enten fægteren eller den ny klub aktivt skal orientere DFF, før man har licens fra den ny klub og at 3-månedersreglen i § 6 løber fra, at beskeden er modtaget og registreret hos DFF – ikke fra tidspunktet for klubskifte – jf. ordlyden i § 6 ”… kan kun deltage i DM for en forening, som vedkommende har haft licens hos i mindst 3 måneder”.</w:t>
      </w:r>
    </w:p>
    <w:p w:rsidR="000A15F2" w:rsidRDefault="005928D7" w:rsidP="000A15F2">
      <w:pPr>
        <w:ind w:left="720"/>
      </w:pPr>
      <w:r>
        <w:t>DFF’s sekretariat og stævneledelser vil administrativt afvise anmodninger om at stille op for ny klub ved DM i tilfælde hvor 3-månedersreglen og kravet om bopælsskift i § 6 ikke er overholdt – m.a.o. kun hvis disse betingelser er opfyldt kan bestyrelsen inddrages og tage stilling til dispensation iflg. vedtægterne.</w:t>
      </w:r>
    </w:p>
    <w:p w:rsidR="000A15F2" w:rsidRDefault="000A15F2" w:rsidP="000A15F2">
      <w:pPr>
        <w:ind w:left="720"/>
      </w:pPr>
    </w:p>
    <w:p w:rsidR="000A15F2" w:rsidRPr="000A15F2" w:rsidRDefault="000A15F2" w:rsidP="000A15F2">
      <w:pPr>
        <w:pStyle w:val="Listeafsnit"/>
        <w:numPr>
          <w:ilvl w:val="0"/>
          <w:numId w:val="1"/>
        </w:numPr>
      </w:pPr>
      <w:r>
        <w:t>F</w:t>
      </w:r>
      <w:r w:rsidRPr="000A15F2">
        <w:rPr>
          <w:b/>
          <w:color w:val="181818"/>
        </w:rPr>
        <w:t xml:space="preserve">ormodningsregler for repræsentation: </w:t>
      </w:r>
      <w:r w:rsidRPr="000A15F2">
        <w:rPr>
          <w:color w:val="181818"/>
        </w:rPr>
        <w:t xml:space="preserve">I en overgangsfase ved indførelsen af den nye pr. 02.04.12 vedtagne automatisk erhvervede licens  vil DFF's administration anvende følgende formodningsregler for, hvilken klub en fægter repræsenter og har licens for, såfremt der er tvivl herom: </w:t>
      </w:r>
    </w:p>
    <w:p w:rsidR="000A15F2" w:rsidRPr="000A15F2" w:rsidRDefault="000A15F2" w:rsidP="000A15F2">
      <w:pPr>
        <w:pStyle w:val="Listeafsnit"/>
        <w:rPr>
          <w:color w:val="181818"/>
        </w:rPr>
      </w:pPr>
      <w:r w:rsidRPr="000A15F2">
        <w:rPr>
          <w:color w:val="181818"/>
        </w:rPr>
        <w:t xml:space="preserve">Den klub, som fægteren i følge </w:t>
      </w:r>
      <w:proofErr w:type="spellStart"/>
      <w:r w:rsidRPr="000A15F2">
        <w:rPr>
          <w:color w:val="181818"/>
        </w:rPr>
        <w:t>Ophardt-Online</w:t>
      </w:r>
      <w:proofErr w:type="spellEnd"/>
      <w:r w:rsidRPr="000A15F2">
        <w:rPr>
          <w:color w:val="181818"/>
        </w:rPr>
        <w:t xml:space="preserve"> systemet er registreret som tilhørende, er også den klub, som fægteren repræsenterer og har licens for.</w:t>
      </w:r>
    </w:p>
    <w:p w:rsidR="000A15F2" w:rsidRPr="000A15F2" w:rsidRDefault="000A15F2" w:rsidP="000A15F2">
      <w:pPr>
        <w:pStyle w:val="Listeafsnit"/>
      </w:pPr>
      <w:r w:rsidRPr="000A15F2">
        <w:rPr>
          <w:color w:val="181818"/>
        </w:rPr>
        <w:t xml:space="preserve">Såfremt fægteren ikke er registreret i </w:t>
      </w:r>
      <w:proofErr w:type="spellStart"/>
      <w:r w:rsidRPr="000A15F2">
        <w:rPr>
          <w:color w:val="181818"/>
        </w:rPr>
        <w:t>Ophardt</w:t>
      </w:r>
      <w:proofErr w:type="spellEnd"/>
      <w:r w:rsidRPr="000A15F2">
        <w:rPr>
          <w:color w:val="181818"/>
        </w:rPr>
        <w:t xml:space="preserve">: </w:t>
      </w:r>
      <w:r w:rsidRPr="000A15F2">
        <w:t xml:space="preserve">Den automatiske licens er udstedt via den klub, som fægteren pr. 02.04.12 er opført som licenshaver fra på den før 02.04. 2012 gældende </w:t>
      </w:r>
      <w:hyperlink r:id="rId7" w:history="1">
        <w:r w:rsidRPr="000A15F2">
          <w:rPr>
            <w:rStyle w:val="Hyperlink"/>
          </w:rPr>
          <w:t>"Licensliste for Nationale licenser 2011-2012"</w:t>
        </w:r>
      </w:hyperlink>
      <w:r w:rsidRPr="000A15F2">
        <w:t>.</w:t>
      </w:r>
    </w:p>
    <w:p w:rsidR="000A15F2" w:rsidRPr="000A15F2" w:rsidRDefault="000A15F2" w:rsidP="000A15F2">
      <w:pPr>
        <w:pStyle w:val="Listeafsnit"/>
      </w:pPr>
      <w:r w:rsidRPr="000A15F2">
        <w:t xml:space="preserve">Såfremt ovenstående ikke giver svar: Det klubtilhørsforhold der er angivet på de </w:t>
      </w:r>
      <w:hyperlink r:id="rId8" w:history="1">
        <w:r w:rsidRPr="000A15F2">
          <w:rPr>
            <w:rStyle w:val="Hyperlink"/>
          </w:rPr>
          <w:t>nationale ranglister sæson 2011-2012</w:t>
        </w:r>
      </w:hyperlink>
    </w:p>
    <w:p w:rsidR="000A15F2" w:rsidRPr="000A15F2" w:rsidRDefault="000A15F2" w:rsidP="000A15F2">
      <w:pPr>
        <w:pStyle w:val="Listeafsnit"/>
      </w:pPr>
    </w:p>
    <w:p w:rsidR="000A15F2" w:rsidRPr="000A15F2" w:rsidRDefault="000A15F2" w:rsidP="000A15F2">
      <w:pPr>
        <w:pStyle w:val="Listeafsnit"/>
        <w:rPr>
          <w:i/>
        </w:rPr>
      </w:pPr>
      <w:r w:rsidRPr="000A15F2">
        <w:t xml:space="preserve">Dette gælder </w:t>
      </w:r>
      <w:r w:rsidRPr="000A15F2">
        <w:rPr>
          <w:i/>
        </w:rPr>
        <w:t>medmindre fægteren aktivt giver meddelelse om licensskifte (jf. ovenstående).</w:t>
      </w:r>
    </w:p>
    <w:p w:rsidR="000A15F2" w:rsidRPr="000A15F2" w:rsidRDefault="000A15F2" w:rsidP="000A15F2">
      <w:pPr>
        <w:pStyle w:val="Listeafsnit"/>
      </w:pPr>
    </w:p>
    <w:p w:rsidR="000A15F2" w:rsidRPr="000A15F2" w:rsidRDefault="000A15F2" w:rsidP="000A15F2">
      <w:pPr>
        <w:pStyle w:val="Listeafsnit"/>
      </w:pPr>
      <w:r w:rsidRPr="000A15F2">
        <w:t>Formodningsreglerne b) og c) gælder frem til udgangen af 2013.</w:t>
      </w:r>
    </w:p>
    <w:p w:rsidR="000A15F2" w:rsidRDefault="000A15F2" w:rsidP="000A15F2">
      <w:pPr>
        <w:ind w:left="720"/>
      </w:pPr>
    </w:p>
    <w:p w:rsidR="000A15F2" w:rsidRDefault="000A15F2" w:rsidP="000A15F2">
      <w:pPr>
        <w:ind w:left="720"/>
      </w:pPr>
    </w:p>
    <w:p w:rsidR="005928D7" w:rsidRPr="000A15F2" w:rsidRDefault="005928D7" w:rsidP="000A15F2">
      <w:pPr>
        <w:pStyle w:val="Listeafsnit"/>
        <w:rPr>
          <w:b/>
        </w:rPr>
      </w:pPr>
    </w:p>
    <w:p w:rsidR="000A15F2" w:rsidRDefault="00D125AC" w:rsidP="000A15F2">
      <w:pPr>
        <w:numPr>
          <w:ilvl w:val="0"/>
          <w:numId w:val="1"/>
        </w:numPr>
      </w:pPr>
      <w:r w:rsidRPr="000A15F2">
        <w:rPr>
          <w:b/>
        </w:rPr>
        <w:lastRenderedPageBreak/>
        <w:t>Statsborgerskab</w:t>
      </w:r>
      <w:r>
        <w:t xml:space="preserve">. Udenlandske statsborgere kan godt have dansk licens og stille op til danske stævner, men den logiske konsekvens af § 6 sidste punktum (hold DM) er, at udenlandske statsborgere ikke kan stille op til DM individuelt. Det </w:t>
      </w:r>
      <w:r w:rsidR="000A15F2">
        <w:t>forventes at stævneledelsen ved DM foretager denne kontrol.</w:t>
      </w:r>
      <w:r>
        <w:t xml:space="preserve"> </w:t>
      </w:r>
    </w:p>
    <w:p w:rsidR="000A15F2" w:rsidRDefault="000A15F2" w:rsidP="000A15F2">
      <w:pPr>
        <w:ind w:left="720"/>
      </w:pPr>
    </w:p>
    <w:p w:rsidR="00D125AC" w:rsidRDefault="00D125AC" w:rsidP="00A413DC">
      <w:pPr>
        <w:numPr>
          <w:ilvl w:val="0"/>
          <w:numId w:val="1"/>
        </w:numPr>
      </w:pPr>
      <w:r w:rsidRPr="00F269B8">
        <w:rPr>
          <w:b/>
        </w:rPr>
        <w:t>Licensperiode</w:t>
      </w:r>
      <w:r>
        <w:t xml:space="preserve">: </w:t>
      </w:r>
      <w:r w:rsidR="00A413DC">
        <w:t xml:space="preserve">DFF’s Vedtægter </w:t>
      </w:r>
      <w:proofErr w:type="spellStart"/>
      <w:r w:rsidR="00A413DC">
        <w:t>fastlår</w:t>
      </w:r>
      <w:proofErr w:type="spellEnd"/>
      <w:r w:rsidR="00A413DC">
        <w:t xml:space="preserve">, at ”Fornyelse af licens sker årligt”, men udtaler sig ikke om licensperioden i øvrigt. </w:t>
      </w:r>
      <w:r>
        <w:t xml:space="preserve">Perioden </w:t>
      </w:r>
      <w:r w:rsidR="00A413DC">
        <w:t>fastsættes</w:t>
      </w:r>
      <w:r>
        <w:t xml:space="preserve"> </w:t>
      </w:r>
      <w:r w:rsidR="002717F1">
        <w:t xml:space="preserve">administrativt til </w:t>
      </w:r>
      <w:proofErr w:type="spellStart"/>
      <w:r>
        <w:t>FIE-sæsonen</w:t>
      </w:r>
      <w:proofErr w:type="spellEnd"/>
      <w:r>
        <w:t xml:space="preserve"> </w:t>
      </w:r>
      <w:r w:rsidR="004C46D2">
        <w:t>for seniorer,</w:t>
      </w:r>
      <w:r w:rsidR="002717F1">
        <w:t xml:space="preserve"> medmindre DFF’s bestyrelse træffer anden beslutning</w:t>
      </w:r>
      <w:r w:rsidR="00F269B8">
        <w:t>.</w:t>
      </w:r>
      <w:r>
        <w:t xml:space="preserve"> </w:t>
      </w:r>
      <w:r w:rsidR="00F269B8">
        <w:t>En del</w:t>
      </w:r>
      <w:r>
        <w:t xml:space="preserve"> taler for at  DFF’s nationale licensperiode </w:t>
      </w:r>
      <w:r w:rsidR="00F269B8">
        <w:t xml:space="preserve">ligger </w:t>
      </w:r>
      <w:r>
        <w:t xml:space="preserve">i samme tidsrum </w:t>
      </w:r>
      <w:r w:rsidR="002717F1">
        <w:t xml:space="preserve">som </w:t>
      </w:r>
      <w:proofErr w:type="spellStart"/>
      <w:r w:rsidR="002717F1">
        <w:t>Fie’s</w:t>
      </w:r>
      <w:proofErr w:type="spellEnd"/>
      <w:r w:rsidR="002717F1">
        <w:t xml:space="preserve"> </w:t>
      </w:r>
      <w:r w:rsidR="004C46D2">
        <w:t>senior</w:t>
      </w:r>
      <w:r w:rsidR="002717F1">
        <w:t xml:space="preserve">sæson </w:t>
      </w:r>
      <w:proofErr w:type="spellStart"/>
      <w:r w:rsidR="004C46D2">
        <w:t>-</w:t>
      </w:r>
      <w:r w:rsidR="002717F1">
        <w:t>og</w:t>
      </w:r>
      <w:proofErr w:type="spellEnd"/>
      <w:r w:rsidR="002717F1">
        <w:t xml:space="preserve"> licensperiode</w:t>
      </w:r>
      <w:r>
        <w:t>, så klubber og fægtere ikke skal lave</w:t>
      </w:r>
      <w:r w:rsidR="004C46D2">
        <w:t xml:space="preserve"> for meget</w:t>
      </w:r>
      <w:r>
        <w:t xml:space="preserve"> dobbeltarbejde med bestillingerne</w:t>
      </w:r>
      <w:r w:rsidR="002717F1">
        <w:t>.</w:t>
      </w:r>
      <w:r w:rsidR="004C46D2">
        <w:t xml:space="preserve"> </w:t>
      </w:r>
      <w:r>
        <w:t xml:space="preserve">Sekretariatet </w:t>
      </w:r>
      <w:r w:rsidR="004C46D2">
        <w:t xml:space="preserve">vil sende besked om </w:t>
      </w:r>
      <w:r>
        <w:t xml:space="preserve">bestilling ud til klubber lige </w:t>
      </w:r>
      <w:r w:rsidR="004C46D2">
        <w:t>i sommerferien, så bestilling foretages i god tid.</w:t>
      </w:r>
      <w:r>
        <w:t xml:space="preserve"> På den anden side taler ferieafvikling på Sekretariatet og noget rent hukommelsesteknisk for at en licensperiode løber fra 31.12.-01.01- her kan der dog blive bøvl i </w:t>
      </w:r>
      <w:proofErr w:type="spellStart"/>
      <w:r>
        <w:t>f.h.t</w:t>
      </w:r>
      <w:proofErr w:type="spellEnd"/>
      <w:r>
        <w:t>. danske stævner i januar og marts</w:t>
      </w:r>
      <w:r w:rsidR="00F269B8">
        <w:t xml:space="preserve">. </w:t>
      </w:r>
      <w:r>
        <w:t>Bestyrelsen træffe</w:t>
      </w:r>
      <w:r w:rsidR="00F269B8">
        <w:t>r</w:t>
      </w:r>
      <w:r>
        <w:t xml:space="preserve"> beslutning om, hvilken licensperiode, den finder hensigtsmæssig.</w:t>
      </w:r>
    </w:p>
    <w:p w:rsidR="00F269B8" w:rsidRDefault="00F269B8" w:rsidP="00E20EF0">
      <w:pPr>
        <w:ind w:left="360"/>
      </w:pPr>
    </w:p>
    <w:p w:rsidR="00D125AC" w:rsidRDefault="00D125AC" w:rsidP="00D125AC"/>
    <w:p w:rsidR="00D125AC" w:rsidRDefault="00D125AC"/>
    <w:sectPr w:rsidR="00D125AC" w:rsidSect="00A64DFF">
      <w:headerReference w:type="default" r:id="rId9"/>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1F3" w:rsidRDefault="006C01F3" w:rsidP="000F5E76">
      <w:r>
        <w:separator/>
      </w:r>
    </w:p>
  </w:endnote>
  <w:endnote w:type="continuationSeparator" w:id="0">
    <w:p w:rsidR="006C01F3" w:rsidRDefault="006C01F3" w:rsidP="000F5E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1F3" w:rsidRDefault="006C01F3" w:rsidP="000F5E76">
      <w:r>
        <w:separator/>
      </w:r>
    </w:p>
  </w:footnote>
  <w:footnote w:type="continuationSeparator" w:id="0">
    <w:p w:rsidR="006C01F3" w:rsidRDefault="006C01F3" w:rsidP="000F5E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E76" w:rsidRPr="00D125AC" w:rsidRDefault="000F5E76" w:rsidP="000F5E76">
    <w:pPr>
      <w:rPr>
        <w:b/>
      </w:rPr>
    </w:pPr>
    <w:r>
      <w:rPr>
        <w:b/>
        <w:noProof/>
      </w:rPr>
      <w:drawing>
        <wp:anchor distT="0" distB="0" distL="114300" distR="114300" simplePos="0" relativeHeight="251658240" behindDoc="1" locked="0" layoutInCell="1" allowOverlap="1">
          <wp:simplePos x="0" y="0"/>
          <wp:positionH relativeFrom="column">
            <wp:posOffset>5167630</wp:posOffset>
          </wp:positionH>
          <wp:positionV relativeFrom="paragraph">
            <wp:posOffset>-322580</wp:posOffset>
          </wp:positionV>
          <wp:extent cx="1463040" cy="2168525"/>
          <wp:effectExtent l="19050" t="0" r="3810" b="0"/>
          <wp:wrapTight wrapText="bothSides">
            <wp:wrapPolygon edited="0">
              <wp:start x="5906" y="0"/>
              <wp:lineTo x="1688" y="380"/>
              <wp:lineTo x="-281" y="1328"/>
              <wp:lineTo x="0" y="9108"/>
              <wp:lineTo x="3094" y="15180"/>
              <wp:lineTo x="5625" y="18216"/>
              <wp:lineTo x="9281" y="21252"/>
              <wp:lineTo x="9844" y="21442"/>
              <wp:lineTo x="11531" y="21442"/>
              <wp:lineTo x="11813" y="21442"/>
              <wp:lineTo x="12094" y="21252"/>
              <wp:lineTo x="15750" y="18406"/>
              <wp:lineTo x="16031" y="18216"/>
              <wp:lineTo x="18281" y="15370"/>
              <wp:lineTo x="18281" y="15180"/>
              <wp:lineTo x="19969" y="12334"/>
              <wp:lineTo x="19969" y="12144"/>
              <wp:lineTo x="21375" y="9298"/>
              <wp:lineTo x="21375" y="9108"/>
              <wp:lineTo x="21656" y="6262"/>
              <wp:lineTo x="21656" y="1328"/>
              <wp:lineTo x="19406" y="190"/>
              <wp:lineTo x="15469" y="0"/>
              <wp:lineTo x="5906" y="0"/>
            </wp:wrapPolygon>
          </wp:wrapTight>
          <wp:docPr id="1" name="Billede 0" descr="DFF-pin-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F-pin-RGB.gif"/>
                  <pic:cNvPicPr/>
                </pic:nvPicPr>
                <pic:blipFill>
                  <a:blip r:embed="rId1"/>
                  <a:stretch>
                    <a:fillRect/>
                  </a:stretch>
                </pic:blipFill>
                <pic:spPr>
                  <a:xfrm>
                    <a:off x="0" y="0"/>
                    <a:ext cx="1463040" cy="2168525"/>
                  </a:xfrm>
                  <a:prstGeom prst="rect">
                    <a:avLst/>
                  </a:prstGeom>
                </pic:spPr>
              </pic:pic>
            </a:graphicData>
          </a:graphic>
        </wp:anchor>
      </w:drawing>
    </w:r>
    <w:r w:rsidRPr="00D125AC">
      <w:rPr>
        <w:b/>
      </w:rPr>
      <w:t>Administrativ praksis</w:t>
    </w:r>
    <w:r>
      <w:rPr>
        <w:b/>
      </w:rPr>
      <w:t xml:space="preserve"> for Sekretariatets behandling af nationale licenser</w:t>
    </w:r>
    <w:r w:rsidRPr="00D125AC">
      <w:rPr>
        <w:b/>
      </w:rPr>
      <w:t>:</w:t>
    </w:r>
  </w:p>
  <w:p w:rsidR="000F5E76" w:rsidRDefault="000F5E76" w:rsidP="000F5E76">
    <w:r>
      <w:t>Revideret 10.04. 2012:</w:t>
    </w:r>
    <w:r w:rsidR="009225E8" w:rsidRPr="009225E8">
      <w:t xml:space="preserve"> </w:t>
    </w:r>
  </w:p>
  <w:p w:rsidR="000F5E76" w:rsidRDefault="000F5E76">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61E6A"/>
    <w:multiLevelType w:val="hybridMultilevel"/>
    <w:tmpl w:val="D9B6BAF4"/>
    <w:lvl w:ilvl="0" w:tplc="04060017">
      <w:start w:val="1"/>
      <w:numFmt w:val="lowerLetter"/>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
    <w:nsid w:val="644F7D30"/>
    <w:multiLevelType w:val="hybridMultilevel"/>
    <w:tmpl w:val="E528EA3A"/>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nsid w:val="710509C3"/>
    <w:multiLevelType w:val="hybridMultilevel"/>
    <w:tmpl w:val="21B4418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7F663921"/>
    <w:multiLevelType w:val="hybridMultilevel"/>
    <w:tmpl w:val="B69C1EA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1304"/>
  <w:hyphenationZone w:val="425"/>
  <w:noPunctuationKerning/>
  <w:characterSpacingControl w:val="doNotCompress"/>
  <w:savePreviewPicture/>
  <w:hdrShapeDefaults>
    <o:shapedefaults v:ext="edit" spidmax="19458"/>
  </w:hdrShapeDefaults>
  <w:footnotePr>
    <w:footnote w:id="-1"/>
    <w:footnote w:id="0"/>
  </w:footnotePr>
  <w:endnotePr>
    <w:endnote w:id="-1"/>
    <w:endnote w:id="0"/>
  </w:endnotePr>
  <w:compat/>
  <w:rsids>
    <w:rsidRoot w:val="00D125AC"/>
    <w:rsid w:val="000A15F2"/>
    <w:rsid w:val="000B4545"/>
    <w:rsid w:val="000F5E76"/>
    <w:rsid w:val="00126719"/>
    <w:rsid w:val="001A1990"/>
    <w:rsid w:val="001C74B2"/>
    <w:rsid w:val="002262B9"/>
    <w:rsid w:val="002717F1"/>
    <w:rsid w:val="00291849"/>
    <w:rsid w:val="002A0F88"/>
    <w:rsid w:val="002B42E2"/>
    <w:rsid w:val="004C46D2"/>
    <w:rsid w:val="005928D7"/>
    <w:rsid w:val="005C0229"/>
    <w:rsid w:val="005D2EED"/>
    <w:rsid w:val="006C01F3"/>
    <w:rsid w:val="006D3559"/>
    <w:rsid w:val="00886274"/>
    <w:rsid w:val="009225E8"/>
    <w:rsid w:val="009F3D42"/>
    <w:rsid w:val="00A16422"/>
    <w:rsid w:val="00A413DC"/>
    <w:rsid w:val="00A64DFF"/>
    <w:rsid w:val="00B30DAF"/>
    <w:rsid w:val="00BC6008"/>
    <w:rsid w:val="00D125AC"/>
    <w:rsid w:val="00D60B40"/>
    <w:rsid w:val="00D61AA8"/>
    <w:rsid w:val="00DD2EDB"/>
    <w:rsid w:val="00E20EF0"/>
    <w:rsid w:val="00F048B8"/>
    <w:rsid w:val="00F269B8"/>
    <w:rsid w:val="00F8478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5AC"/>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0F5E76"/>
    <w:pPr>
      <w:tabs>
        <w:tab w:val="center" w:pos="4819"/>
        <w:tab w:val="right" w:pos="9638"/>
      </w:tabs>
    </w:pPr>
  </w:style>
  <w:style w:type="character" w:customStyle="1" w:styleId="SidehovedTegn">
    <w:name w:val="Sidehoved Tegn"/>
    <w:basedOn w:val="Standardskrifttypeiafsnit"/>
    <w:link w:val="Sidehoved"/>
    <w:uiPriority w:val="99"/>
    <w:semiHidden/>
    <w:rsid w:val="000F5E76"/>
    <w:rPr>
      <w:sz w:val="24"/>
      <w:szCs w:val="24"/>
    </w:rPr>
  </w:style>
  <w:style w:type="paragraph" w:styleId="Sidefod">
    <w:name w:val="footer"/>
    <w:basedOn w:val="Normal"/>
    <w:link w:val="SidefodTegn"/>
    <w:uiPriority w:val="99"/>
    <w:semiHidden/>
    <w:unhideWhenUsed/>
    <w:rsid w:val="000F5E76"/>
    <w:pPr>
      <w:tabs>
        <w:tab w:val="center" w:pos="4819"/>
        <w:tab w:val="right" w:pos="9638"/>
      </w:tabs>
    </w:pPr>
  </w:style>
  <w:style w:type="character" w:customStyle="1" w:styleId="SidefodTegn">
    <w:name w:val="Sidefod Tegn"/>
    <w:basedOn w:val="Standardskrifttypeiafsnit"/>
    <w:link w:val="Sidefod"/>
    <w:uiPriority w:val="99"/>
    <w:semiHidden/>
    <w:rsid w:val="000F5E76"/>
    <w:rPr>
      <w:sz w:val="24"/>
      <w:szCs w:val="24"/>
    </w:rPr>
  </w:style>
  <w:style w:type="paragraph" w:styleId="Markeringsbobletekst">
    <w:name w:val="Balloon Text"/>
    <w:basedOn w:val="Normal"/>
    <w:link w:val="MarkeringsbobletekstTegn"/>
    <w:uiPriority w:val="99"/>
    <w:semiHidden/>
    <w:unhideWhenUsed/>
    <w:rsid w:val="000F5E7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F5E76"/>
    <w:rPr>
      <w:rFonts w:ascii="Tahoma" w:hAnsi="Tahoma" w:cs="Tahoma"/>
      <w:sz w:val="16"/>
      <w:szCs w:val="16"/>
    </w:rPr>
  </w:style>
  <w:style w:type="paragraph" w:styleId="Listeafsnit">
    <w:name w:val="List Paragraph"/>
    <w:basedOn w:val="Normal"/>
    <w:uiPriority w:val="34"/>
    <w:qFormat/>
    <w:rsid w:val="005928D7"/>
    <w:pPr>
      <w:ind w:left="720"/>
      <w:contextualSpacing/>
    </w:pPr>
  </w:style>
  <w:style w:type="paragraph" w:styleId="NormalWeb">
    <w:name w:val="Normal (Web)"/>
    <w:basedOn w:val="Normal"/>
    <w:uiPriority w:val="99"/>
    <w:semiHidden/>
    <w:unhideWhenUsed/>
    <w:rsid w:val="005928D7"/>
    <w:pPr>
      <w:spacing w:before="100" w:beforeAutospacing="1" w:after="100" w:afterAutospacing="1"/>
    </w:pPr>
  </w:style>
  <w:style w:type="character" w:styleId="Hyperlink">
    <w:name w:val="Hyperlink"/>
    <w:basedOn w:val="Standardskrifttypeiafsnit"/>
    <w:uiPriority w:val="99"/>
    <w:semiHidden/>
    <w:unhideWhenUsed/>
    <w:rsid w:val="005928D7"/>
    <w:rPr>
      <w:color w:val="0000FF"/>
      <w:u w:val="single"/>
    </w:rPr>
  </w:style>
</w:styles>
</file>

<file path=word/webSettings.xml><?xml version="1.0" encoding="utf-8"?>
<w:webSettings xmlns:r="http://schemas.openxmlformats.org/officeDocument/2006/relationships" xmlns:w="http://schemas.openxmlformats.org/wordprocessingml/2006/main">
  <w:divs>
    <w:div w:id="463888314">
      <w:bodyDiv w:val="1"/>
      <w:marLeft w:val="0"/>
      <w:marRight w:val="0"/>
      <w:marTop w:val="0"/>
      <w:marBottom w:val="0"/>
      <w:divBdr>
        <w:top w:val="none" w:sz="0" w:space="0" w:color="auto"/>
        <w:left w:val="none" w:sz="0" w:space="0" w:color="auto"/>
        <w:bottom w:val="none" w:sz="0" w:space="0" w:color="auto"/>
        <w:right w:val="none" w:sz="0" w:space="0" w:color="auto"/>
      </w:divBdr>
    </w:div>
    <w:div w:id="1620719341">
      <w:bodyDiv w:val="1"/>
      <w:marLeft w:val="0"/>
      <w:marRight w:val="0"/>
      <w:marTop w:val="0"/>
      <w:marBottom w:val="0"/>
      <w:divBdr>
        <w:top w:val="none" w:sz="0" w:space="0" w:color="auto"/>
        <w:left w:val="none" w:sz="0" w:space="0" w:color="auto"/>
        <w:bottom w:val="none" w:sz="0" w:space="0" w:color="auto"/>
        <w:right w:val="none" w:sz="0" w:space="0" w:color="auto"/>
      </w:divBdr>
      <w:divsChild>
        <w:div w:id="662467895">
          <w:marLeft w:val="0"/>
          <w:marRight w:val="0"/>
          <w:marTop w:val="0"/>
          <w:marBottom w:val="0"/>
          <w:divBdr>
            <w:top w:val="none" w:sz="0" w:space="0" w:color="auto"/>
            <w:left w:val="none" w:sz="0" w:space="0" w:color="auto"/>
            <w:bottom w:val="none" w:sz="0" w:space="0" w:color="auto"/>
            <w:right w:val="none" w:sz="0" w:space="0" w:color="auto"/>
          </w:divBdr>
        </w:div>
        <w:div w:id="2012564438">
          <w:marLeft w:val="0"/>
          <w:marRight w:val="0"/>
          <w:marTop w:val="0"/>
          <w:marBottom w:val="0"/>
          <w:divBdr>
            <w:top w:val="none" w:sz="0" w:space="0" w:color="auto"/>
            <w:left w:val="none" w:sz="0" w:space="0" w:color="auto"/>
            <w:bottom w:val="none" w:sz="0" w:space="0" w:color="auto"/>
            <w:right w:val="none" w:sz="0" w:space="0" w:color="auto"/>
          </w:divBdr>
        </w:div>
        <w:div w:id="2090541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egtning.dk/node/300" TargetMode="External"/><Relationship Id="rId3" Type="http://schemas.openxmlformats.org/officeDocument/2006/relationships/settings" Target="settings.xml"/><Relationship Id="rId7" Type="http://schemas.openxmlformats.org/officeDocument/2006/relationships/hyperlink" Target="http://www.faegtning.dk/sites/default/files/dokumenter/Bredde/Licensliste%202011-2012%20slut%2010.04.12.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590</Words>
  <Characters>3600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8</cp:revision>
  <cp:lastPrinted>2012-12-07T12:53:00Z</cp:lastPrinted>
  <dcterms:created xsi:type="dcterms:W3CDTF">2012-04-17T03:10:00Z</dcterms:created>
  <dcterms:modified xsi:type="dcterms:W3CDTF">2016-01-19T10:37:00Z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-425152335</vt:i4>
  </property>
  <property fmtid="{D5CDD505-2E9C-101B-9397-08002B2CF9AE}" pid="3" name="_EmailSubject">
    <vt:lpwstr>licensregler</vt:lpwstr>
  </property>
  <property fmtid="{D5CDD505-2E9C-101B-9397-08002B2CF9AE}" pid="4" name="_AuthorEmail">
    <vt:lpwstr>dff@faegtning.dk</vt:lpwstr>
  </property>
  <property fmtid="{D5CDD505-2E9C-101B-9397-08002B2CF9AE}" pid="5" name="_AuthorEmailDisplayName">
    <vt:lpwstr>Dansk Fægte-Forbund</vt:lpwstr>
  </property>
  <property fmtid="{D5CDD505-2E9C-101B-9397-08002B2CF9AE}" pid="6" name="_ReviewingToolsShownOnce">
    <vt:lpwstr/>
  </property>
</Properties>
</file>